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6572F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вторник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50064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31 января 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</w:p>
    <w:p w:rsidR="001B746F" w:rsidRPr="001B746F" w:rsidRDefault="001B746F" w:rsidP="001B746F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suppressAutoHyphens/>
        <w:autoSpaceDN w:val="0"/>
        <w:spacing w:before="240" w:after="60"/>
        <w:jc w:val="center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746F">
        <w:rPr>
          <w:rFonts w:ascii="Times New Roman CYR" w:eastAsia="Times New Roman" w:hAnsi="Times New Roman CYR" w:cs="Tahoma"/>
          <w:kern w:val="2"/>
          <w:sz w:val="26"/>
          <w:szCs w:val="26"/>
          <w:lang w:eastAsia="ru-RU"/>
        </w:rPr>
        <w:t>РОССИЙСКАЯ ФЕДЕРАЦИЯ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ahoma"/>
          <w:kern w:val="2"/>
          <w:sz w:val="26"/>
          <w:szCs w:val="28"/>
          <w:lang w:eastAsia="ru-RU"/>
        </w:rPr>
      </w:pPr>
      <w:r w:rsidRPr="001B746F">
        <w:rPr>
          <w:rFonts w:ascii="Times New Roman CYR" w:eastAsia="Times New Roman" w:hAnsi="Times New Roman CYR" w:cs="Tahoma"/>
          <w:kern w:val="2"/>
          <w:sz w:val="26"/>
          <w:szCs w:val="28"/>
          <w:lang w:eastAsia="ru-RU"/>
        </w:rPr>
        <w:t>КОСТРОМСКАЯ ОБЛАСТЬ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ahoma"/>
          <w:kern w:val="2"/>
          <w:sz w:val="26"/>
          <w:szCs w:val="28"/>
          <w:lang w:eastAsia="ru-RU"/>
        </w:rPr>
      </w:pPr>
      <w:r w:rsidRPr="001B746F">
        <w:rPr>
          <w:rFonts w:ascii="Times New Roman CYR" w:eastAsia="Times New Roman" w:hAnsi="Times New Roman CYR" w:cs="Tahoma"/>
          <w:kern w:val="2"/>
          <w:sz w:val="26"/>
          <w:szCs w:val="28"/>
          <w:lang w:eastAsia="ru-RU"/>
        </w:rPr>
        <w:t>АДМИНИСТРАЦИЯ УСТЬ-НЕЙСКОГО СЕЛЬСКОГО ПОСЕЛЕНИЯ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ahoma"/>
          <w:kern w:val="2"/>
          <w:sz w:val="26"/>
          <w:szCs w:val="28"/>
          <w:lang w:eastAsia="ru-RU"/>
        </w:rPr>
      </w:pPr>
      <w:r w:rsidRPr="001B746F">
        <w:rPr>
          <w:rFonts w:ascii="Times New Roman CYR" w:eastAsia="Times New Roman" w:hAnsi="Times New Roman CYR" w:cs="Tahoma"/>
          <w:kern w:val="2"/>
          <w:sz w:val="26"/>
          <w:szCs w:val="28"/>
          <w:lang w:eastAsia="ru-RU"/>
        </w:rPr>
        <w:t>МАКАРЬЕВСКОГО МУНИЦИПАЛЬНОГО РАЙОНА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«23» января 2023 года                                                                                   № 5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1B7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Порядка определения цены 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земельных участков, находящихся в собственности 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Усть-Нейского сельского поселения Макарьевского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 Костромской области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заключении договоров купли-продажи 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7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таких земельных участков без проведения торгов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В соответствии </w:t>
      </w: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со </w:t>
      </w:r>
      <w:hyperlink r:id="rId7" w:history="1">
        <w:r w:rsidRPr="001B74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статьей 39.4</w:t>
        </w:r>
      </w:hyperlink>
      <w:r w:rsidRPr="001B74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Земельного кодекса Российской Федерации, Костромской области от 18 июля 2002 года N 68-ЗКО "О разграничении полномочий между органами государственной власти Костромской области в сфере регулирования земельных отношений", администрация Усть-Нейского сельского поселения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ОСТАНОВЛЯЕТ: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 Утвердить прилагаемый Порядок определения цены земельных участков, находящихся в собственности Усть-Нейского сельского поселения Макарьевского муниципального района Костромской области, при заключении договоров купли-продажи таких земельных участков без проведения торгов.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2.Постановление от 02.03.2015 года №12 « Об утверждении Порядка определения цены земельных участков при заключении договоров купли-продажи земельных участков, находящихся в муниципальной собственности Усть-Нейского сельского поселения, приобретаемых без проведения торгов признать утратившим силу.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  Настоящее постановление вступает в силу со дня его официального опубликования.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Глава администрации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Усть-Нейского сельского поселения                                                               В.А Круглов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Приложение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УТВЕРЖДЕН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постановлением администрации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Усть-Нейского сельского поселения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Макарьевского муниципального района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Костромской области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23.01.2023г. N 5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определения цены земельных участков, находящихся в собственности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Усть-Нейского сельского поселения Макарьевского муниципального района Костромской области, при заключении договора купли-продажи таких земельных участков без проведения торгов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55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 Настоящий Порядок разработан в соответствии со </w:t>
      </w:r>
      <w:hyperlink r:id="rId8" w:history="1">
        <w:r w:rsidRPr="001B74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статьей 39.4</w:t>
        </w:r>
      </w:hyperlink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Земельного кодекса Российской Федерации, </w:t>
      </w:r>
      <w:hyperlink r:id="rId9" w:history="1">
        <w:r w:rsidRPr="001B74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 25.10.2001 года N 137-ФЗ "О введении в действие Земельного кодекса Российской Федерации", постановлением администрации Костромской области от 23.06.2015 г N 234-а "Об утверждении порядка определения цены земельных участков, находящихся в собственности Костромской области, или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торгов", и устанавливает порядок определения цены земельных участков, находящихся в собственности Усть-Нейского сельского поселения Макарьевского муниципального района Костромской области (далее по тексту - поселения), при заключении договора купли-продажи таких земельных участков без проведения торгов (далее - Порядок).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55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Цена земельных участков, находящихся в собственности поселения, при заключении договора купли-продажи таких земельных участков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55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 При заключении договора купли-продажи земельного участка, находящегося в собственности поселения без проведения торгов,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55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 Цена земельных участков, находящихся в собственности поселения, при заключении договора купли-продажи таких земельных участков без проведения торгов, устанавливается в размере двух с половиной процентов кадастровой стоимости земельного участка при их продаже: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left="559" w:firstLine="13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1) собственникам  расположенных на арендуемых ими земельных участках зданий, строений, сооружений, если в период со дня вступления в силу </w:t>
      </w:r>
      <w:hyperlink r:id="rId10" w:history="1">
        <w:r w:rsidRPr="001B74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Федерального закона</w:t>
        </w:r>
      </w:hyperlink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 25.10.2001 года N 137-ФЗ "О введении в действие Земельного кодекса Российской Федерации" до 01.07.2012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left="559" w:firstLine="13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2) 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подпункте 1 настоящего пункта;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left="559" w:firstLine="13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3) юридическим лицам, являющимся собственниками расположенных на таких земельных участках зданий, строений, сооружений, при переоформлении </w:t>
      </w: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 срок до 01.01.2016 года.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55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 Цена земельных участков, находящихся в собственности поселения, при заключении договора купли-продажи таких земельных участков без проведения торгов, устанавливается в размере трех процентов кадастровой стоимости земельного участка при их продаже: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left="559" w:firstLine="13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1) гражданам и юридическим лицам, являющимся собственниками расположенных на таких земельных участках зданий, строений, сооружений сферы жилищно-коммунального хозяйства;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left="559" w:firstLine="13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2) гражданам и юридическим лицам, являющимся собственниками расположенных на таких земельных участках объектов жилищного строительства, гаражных боксов, иных помещений в зданиях, строениях, сооружениях гаражных или иных потребительских кооперативов;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left="559" w:firstLine="13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3) гражданам и юридическим лицам, являющимся собственниками зданий, строений, сооружений, использующихся для сельскохозяйственного производства, расположенных на земельных участках из земель сельскохозяйственного назначения;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left="559" w:firstLine="13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4) гражданам, являющимся собственниками зданий, строений, сооружений, расположенных на земельных участках из земель населенных пунктов, предоставленных для ведения личного подсобного хозяйства;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left="559" w:firstLine="13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5) гражданам, являющимся собственниками зданий, строений, сооружений, расположенных на земельных участках, предоставленных для ведения садоводства, дачного строительства.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55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 Цена земельных участков, находящихся в собственности поселения, при заключении договора купли-продажи таких земельных участков без проведения торгов, устанавливается в размере десяти процентов кадастровой стоимости земельного участка при продаже их в случае, предусмотренном </w:t>
      </w:r>
      <w:hyperlink r:id="rId11" w:history="1">
        <w:r w:rsidRPr="001B74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пунктом 9 части 2 статьи 39.3</w:t>
        </w:r>
      </w:hyperlink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55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6. Цена земельных участков, находящихся в собственности поселения, при заключении договора купли-продажи таких земельных участков без проведения торгов, устанавливается в размере кадастровой стоимости земельного участка при их продаже в случае, предусмотренном </w:t>
      </w:r>
      <w:hyperlink r:id="rId12" w:history="1">
        <w:r w:rsidRPr="001B746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пунктом 10 части 2 статьи 39.3</w:t>
        </w:r>
      </w:hyperlink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55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7. Гражданам, коммерческим или некоммерческим организациям и индивидуальным предпринимателям, не указанным в пунктах 3, 4, а также в случаях, не предусмотренных пунктами 5 и 6 настоящего Порядка, в случае продажи земельных участков, находящихся в собственности поселения, без проведения торгов, цена таких земельных участков при заключении договора купли-продажи устанавливается в размере пятнадцати процентов кадастровой стоимости земельного участка.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55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8. Оплата стоимости земельного участка производится в течение пяти банковских дней со дня заключения договора купли-продажи земельного участка единовременным платежом.</w:t>
      </w:r>
    </w:p>
    <w:p w:rsidR="001B746F" w:rsidRPr="001B746F" w:rsidRDefault="001B746F" w:rsidP="001B746F">
      <w:pPr>
        <w:widowControl w:val="0"/>
        <w:autoSpaceDE w:val="0"/>
        <w:autoSpaceDN w:val="0"/>
        <w:adjustRightInd w:val="0"/>
        <w:ind w:firstLine="55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4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распоряжении о переводе денежных средств в уплату платежей в бюджетную систему Российской Федерации указываются назначение платежа, дата и номер договора купли-продажи земельного участка.</w:t>
      </w:r>
    </w:p>
    <w:p w:rsidR="000D6707" w:rsidRDefault="001B746F" w:rsidP="001B746F">
      <w:pPr>
        <w:tabs>
          <w:tab w:val="left" w:pos="1470"/>
          <w:tab w:val="right" w:pos="8647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A6746" w:rsidRPr="00FA6746" w:rsidRDefault="00FA6746" w:rsidP="00FA6746">
      <w:pPr>
        <w:keepNext/>
        <w:tabs>
          <w:tab w:val="left" w:pos="0"/>
          <w:tab w:val="left" w:pos="1616"/>
        </w:tabs>
        <w:ind w:hanging="540"/>
        <w:outlineLvl w:val="2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>.</w:t>
      </w:r>
    </w:p>
    <w:p w:rsidR="00FA6746" w:rsidRPr="00FA6746" w:rsidRDefault="00FA6746" w:rsidP="00FA6746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746" w:rsidRPr="00FA6746" w:rsidRDefault="00FA6746" w:rsidP="00FA6746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lastRenderedPageBreak/>
        <w:t>РОССИЙСКАЯ ФЕДЕРАЦИЯ</w:t>
      </w: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  <w:t>СОВЕТ ДЕПУТАТОВ</w:t>
      </w: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</w:t>
      </w: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>Р Е Ш Е Н И Е</w:t>
      </w: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от  31  января  2023  года </w:t>
      </w: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ab/>
        <w:t>№72</w:t>
      </w:r>
    </w:p>
    <w:p w:rsidR="00FA6746" w:rsidRPr="00FA6746" w:rsidRDefault="00FA6746" w:rsidP="00FA6746">
      <w:pPr>
        <w:tabs>
          <w:tab w:val="left" w:pos="4035"/>
        </w:tabs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w w:val="90"/>
          <w:sz w:val="28"/>
          <w:szCs w:val="28"/>
          <w:lang w:eastAsia="ru-RU"/>
        </w:rPr>
      </w:pPr>
      <w:r w:rsidRPr="00FA6746">
        <w:rPr>
          <w:rFonts w:ascii="Arial" w:eastAsia="Times New Roman" w:hAnsi="Arial" w:cs="Arial"/>
          <w:w w:val="90"/>
          <w:sz w:val="28"/>
          <w:szCs w:val="28"/>
          <w:lang w:eastAsia="ru-RU"/>
        </w:rPr>
        <w:t>Об  утверждении   стоимости   и  требований  к  качеству   услуг, предоставляемых, согласно гарантированному  перечню  услуг  по  погребению.</w:t>
      </w: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</w:t>
      </w:r>
    </w:p>
    <w:p w:rsidR="00FA6746" w:rsidRPr="00FA6746" w:rsidRDefault="00FA6746" w:rsidP="00FA6746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>В  целях возмещения стоимости услуг, предоставляемых согласно гарантированного перечня  услуг по  погребению, во исполнение  Федерального   Закона  от  12.01.1996 года №8-ФЗ «О погребении и  похоронном деле»</w:t>
      </w:r>
      <w:r w:rsidRPr="00FA6746">
        <w:rPr>
          <w:rFonts w:ascii="Arial" w:eastAsia="Times New Roman" w:hAnsi="Arial" w:cs="Arial"/>
          <w:color w:val="000000"/>
          <w:w w:val="90"/>
          <w:sz w:val="24"/>
          <w:szCs w:val="24"/>
          <w:lang w:eastAsia="ru-RU"/>
        </w:rPr>
        <w:t>, П</w:t>
      </w: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остановления Правительства Российской Федерации от 30.01.2023 года №119 Совет депутатов Усть-Нейского сельского поселения  </w:t>
      </w: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>РЕШИЛ:</w:t>
      </w: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Утвердить   стоимость  и  требования  к качеству  услуг,  предоставляемых согласно гарантированному  перечню  услуг   по  погребению в Усть-Нейском  сельском  поселении  Макарьевского муниципального районам Костромской  области в размере 7793 рублей  48 копеек  согласно  приложения.</w:t>
      </w: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>2. Настоящее решение   вступает   в  силу   со дня принятия решения  и распространяет  свое  действие на правоотношения,   возникшие  с  1  февраля    2023 года  и подлежит опубликованию.</w:t>
      </w:r>
    </w:p>
    <w:p w:rsidR="00FA6746" w:rsidRPr="00FA6746" w:rsidRDefault="00FA6746" w:rsidP="00FA6746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3. Решение  №23  от  28  января 2022 года «Об  утверждении   стоимости  и  требований  к  качеству   услуг, предоставляемых, согласно гарантированному  перечню  услуг  по  погребению» признать утратившим силу. </w:t>
      </w: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>4. Контроль за  исполнение настоящего решения  оставляю  за  собой.</w:t>
      </w:r>
    </w:p>
    <w:p w:rsidR="00FA6746" w:rsidRPr="00FA6746" w:rsidRDefault="00FA6746" w:rsidP="00FA6746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746" w:rsidRPr="00FA6746" w:rsidRDefault="00FA6746" w:rsidP="00FA6746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746" w:rsidRPr="00FA6746" w:rsidRDefault="00FA6746" w:rsidP="00FA6746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746" w:rsidRPr="00FA6746" w:rsidRDefault="00FA6746" w:rsidP="00FA6746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746" w:rsidRPr="00FA6746" w:rsidRDefault="00FA6746" w:rsidP="00FA6746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746" w:rsidRPr="00FA6746" w:rsidRDefault="00FA6746" w:rsidP="00FA6746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746" w:rsidRPr="00FA6746" w:rsidRDefault="00FA6746" w:rsidP="00FA6746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sz w:val="24"/>
          <w:szCs w:val="24"/>
          <w:lang w:eastAsia="ru-RU"/>
        </w:rPr>
        <w:t>Глава Усть-Нейского  сельского  поселения</w:t>
      </w:r>
    </w:p>
    <w:p w:rsidR="00FA6746" w:rsidRPr="00FA6746" w:rsidRDefault="00FA6746" w:rsidP="00FA6746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sz w:val="24"/>
          <w:szCs w:val="24"/>
          <w:lang w:eastAsia="ru-RU"/>
        </w:rPr>
        <w:t>Макарьевского  муниципального  района</w:t>
      </w:r>
    </w:p>
    <w:p w:rsidR="00FA6746" w:rsidRPr="00FA6746" w:rsidRDefault="00FA6746" w:rsidP="00FA6746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sz w:val="24"/>
          <w:szCs w:val="24"/>
          <w:lang w:eastAsia="ru-RU"/>
        </w:rPr>
        <w:t>Костромской  области:                                                                   В.А Круглов</w:t>
      </w: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>Приложение  к решению Совета депутатов</w:t>
      </w:r>
    </w:p>
    <w:p w:rsidR="00FA6746" w:rsidRPr="00FA6746" w:rsidRDefault="00FA6746" w:rsidP="00FA6746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Усть-Нейского  сельского поселения </w:t>
      </w:r>
    </w:p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FA6746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                                                                            от  31    января  2023  года №72</w:t>
      </w: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w w:val="90"/>
          <w:sz w:val="28"/>
          <w:szCs w:val="28"/>
          <w:lang w:eastAsia="ru-RU"/>
        </w:rPr>
      </w:pPr>
      <w:r w:rsidRPr="00FA6746">
        <w:rPr>
          <w:rFonts w:ascii="Arial" w:eastAsia="Times New Roman" w:hAnsi="Arial" w:cs="Arial"/>
          <w:w w:val="90"/>
          <w:sz w:val="28"/>
          <w:szCs w:val="28"/>
          <w:lang w:eastAsia="ru-RU"/>
        </w:rPr>
        <w:t xml:space="preserve"> Стоимость   и  требования  к качеству услуг, предоставляемых согласно гарантированному  перечню  услуг по  погребению.</w:t>
      </w:r>
    </w:p>
    <w:p w:rsidR="00FA6746" w:rsidRPr="00FA6746" w:rsidRDefault="00FA6746" w:rsidP="00FA6746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2887"/>
        <w:gridCol w:w="2868"/>
      </w:tblGrid>
      <w:tr w:rsidR="00FA6746" w:rsidRPr="00FA6746" w:rsidTr="00FA67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</w:t>
            </w:r>
            <w:r w:rsidRPr="00FA6746"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  <w:t>Гарантированный перечень</w:t>
            </w:r>
          </w:p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  <w:t xml:space="preserve"> Услуг по  погребению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  <w:t xml:space="preserve"> Требования, предъявляемые  к качеству предоставляемых 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</w:t>
            </w:r>
            <w:r w:rsidRPr="00FA6746"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  <w:t>Стоимость гарантированных  услуг по погребению</w:t>
            </w:r>
          </w:p>
        </w:tc>
      </w:tr>
      <w:tr w:rsidR="00FA6746" w:rsidRPr="00FA6746" w:rsidTr="00FA67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Оформление  документов </w:t>
            </w:r>
          </w:p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Выделение  места для  захоронения умершего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 бесплатно</w:t>
            </w:r>
          </w:p>
        </w:tc>
      </w:tr>
      <w:tr w:rsidR="00FA6746" w:rsidRPr="00FA6746" w:rsidTr="00FA6746">
        <w:trPr>
          <w:trHeight w:val="24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Предоставление и доставка</w:t>
            </w:r>
          </w:p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гроба и других предметов, необходимых для 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Предоставление гроба набитого </w:t>
            </w:r>
          </w:p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Деревянного.</w:t>
            </w:r>
          </w:p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Доставка гроба осуществляется бригадой  по выносу.</w:t>
            </w:r>
          </w:p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Для доставки гроба предоставляется  специально оборудованный  автомобиль.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2571,85</w:t>
            </w:r>
          </w:p>
          <w:p w:rsidR="00FA6746" w:rsidRPr="00FA6746" w:rsidRDefault="00FA6746" w:rsidP="00FA6746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FA6746" w:rsidRPr="00FA6746" w:rsidRDefault="00FA6746" w:rsidP="00FA6746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FA6746" w:rsidRPr="00FA6746" w:rsidRDefault="00FA6746" w:rsidP="00FA6746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FA6746" w:rsidRPr="00FA6746" w:rsidRDefault="00FA6746" w:rsidP="00FA6746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FA6746" w:rsidRPr="00FA6746" w:rsidRDefault="00FA6746" w:rsidP="00FA6746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FA6746" w:rsidRPr="00FA6746" w:rsidRDefault="00FA6746" w:rsidP="00FA6746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FA6746" w:rsidRPr="00FA6746" w:rsidRDefault="00FA6746" w:rsidP="00FA6746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FA6746" w:rsidRPr="00FA6746" w:rsidRDefault="00FA6746" w:rsidP="00FA6746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FA6746" w:rsidRPr="00FA6746" w:rsidTr="00FA67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Перевозка  тела (останков)</w:t>
            </w:r>
          </w:p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умершего на кладбище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Перевозка  тела умершего из дома( морга) до  кладбища осуществляется  специальным  автомобилем с соблюдением скорости 40 км/час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                                          2766,68</w:t>
            </w:r>
          </w:p>
        </w:tc>
      </w:tr>
      <w:tr w:rsidR="00FA6746" w:rsidRPr="00FA6746" w:rsidTr="00FA67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Погребение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Рытье могилы, установленного  размера на  отведенном  участке  кладбища  в  ручную, зачистка могилы  землей, оформления надмогильного  холмика, установка </w:t>
            </w: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lastRenderedPageBreak/>
              <w:t xml:space="preserve">регистрационной  таблички на могиле.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lastRenderedPageBreak/>
              <w:t xml:space="preserve">  2454,95</w:t>
            </w:r>
          </w:p>
        </w:tc>
      </w:tr>
      <w:tr w:rsidR="00FA6746" w:rsidRPr="00FA6746" w:rsidTr="00FA67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46" w:rsidRPr="00FA6746" w:rsidRDefault="00FA6746" w:rsidP="00FA6746">
            <w:pPr>
              <w:ind w:firstLine="0"/>
              <w:jc w:val="left"/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</w:pPr>
            <w:r w:rsidRPr="00FA6746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7793,48</w:t>
            </w:r>
          </w:p>
        </w:tc>
      </w:tr>
    </w:tbl>
    <w:p w:rsidR="00FA6746" w:rsidRPr="00FA6746" w:rsidRDefault="00FA6746" w:rsidP="00FA6746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D740DF" w:rsidP="00FA6746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FA67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FA67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bookmarkStart w:id="0" w:name="_GoBack"/>
            <w:bookmarkEnd w:id="0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5006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31.01.2023г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95" w:rsidRDefault="007A5D95" w:rsidP="007B7FD3">
      <w:r>
        <w:separator/>
      </w:r>
    </w:p>
  </w:endnote>
  <w:endnote w:type="continuationSeparator" w:id="0">
    <w:p w:rsidR="007A5D95" w:rsidRDefault="007A5D95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95" w:rsidRDefault="007A5D95" w:rsidP="007B7FD3">
      <w:r>
        <w:separator/>
      </w:r>
    </w:p>
  </w:footnote>
  <w:footnote w:type="continuationSeparator" w:id="0">
    <w:p w:rsidR="007A5D95" w:rsidRDefault="007A5D95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ahoma"/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878C7"/>
    <w:rsid w:val="001A26F4"/>
    <w:rsid w:val="001B6A2E"/>
    <w:rsid w:val="001B746F"/>
    <w:rsid w:val="001C7C6B"/>
    <w:rsid w:val="001E4C0A"/>
    <w:rsid w:val="002E5856"/>
    <w:rsid w:val="003546DD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00644"/>
    <w:rsid w:val="00521406"/>
    <w:rsid w:val="00523B09"/>
    <w:rsid w:val="005249CF"/>
    <w:rsid w:val="005A6680"/>
    <w:rsid w:val="005B6267"/>
    <w:rsid w:val="005F47BA"/>
    <w:rsid w:val="00643F64"/>
    <w:rsid w:val="006572F5"/>
    <w:rsid w:val="006B57EF"/>
    <w:rsid w:val="006D4434"/>
    <w:rsid w:val="007635F7"/>
    <w:rsid w:val="00771F7B"/>
    <w:rsid w:val="007A5D95"/>
    <w:rsid w:val="007B7FD3"/>
    <w:rsid w:val="007C710A"/>
    <w:rsid w:val="007F68E0"/>
    <w:rsid w:val="0082362C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A6D50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B5981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432F3"/>
    <w:rsid w:val="00F43FA8"/>
    <w:rsid w:val="00F66089"/>
    <w:rsid w:val="00F93416"/>
    <w:rsid w:val="00FA674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1B74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4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3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4624&amp;sub=394" TargetMode="External"/><Relationship Id="rId12" Type="http://schemas.openxmlformats.org/officeDocument/2006/relationships/hyperlink" Target="http://municipal.garant.ru/document?id=12024624&amp;sub=3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24624&amp;sub=393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2462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4625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2020-04-27T07:16:00Z</cp:lastPrinted>
  <dcterms:created xsi:type="dcterms:W3CDTF">2017-07-06T08:18:00Z</dcterms:created>
  <dcterms:modified xsi:type="dcterms:W3CDTF">2023-02-03T07:49:00Z</dcterms:modified>
</cp:coreProperties>
</file>